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37488B" w:rsidRPr="0037488B">
        <w:rPr>
          <w:rFonts w:eastAsia="Arial"/>
          <w:b/>
          <w:kern w:val="3"/>
          <w:sz w:val="24"/>
          <w:szCs w:val="24"/>
          <w:lang w:eastAsia="zh-CN"/>
        </w:rPr>
        <w:t>ул. Академика Глушко, д. 23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65339" w:rsidRPr="0066533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A3FC8" w:rsidRPr="00EA3FC8">
        <w:rPr>
          <w:b/>
          <w:color w:val="000000"/>
          <w:kern w:val="3"/>
          <w:sz w:val="24"/>
          <w:szCs w:val="24"/>
          <w:lang w:eastAsia="zh-CN" w:bidi="hi-IN"/>
        </w:rPr>
        <w:t>2 600 000,00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E080F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A3FC8">
        <w:rPr>
          <w:b/>
          <w:bCs/>
          <w:color w:val="000000"/>
          <w:kern w:val="3"/>
          <w:sz w:val="24"/>
          <w:szCs w:val="24"/>
          <w:lang w:eastAsia="zh-CN" w:bidi="hi-IN"/>
        </w:rPr>
        <w:t>39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5339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C72CA-4606-4291-8D67-32D8AB475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2024-06-19T11:05:00Z</dcterms:created>
  <dcterms:modified xsi:type="dcterms:W3CDTF">2024-07-01T12:04:00Z</dcterms:modified>
</cp:coreProperties>
</file>